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ECAB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中国地质调查局乌鲁木齐自然资源综合调查中心科技创新基金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管理办法</w:t>
      </w:r>
    </w:p>
    <w:p w14:paraId="293D330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试行）</w:t>
      </w:r>
    </w:p>
    <w:p w14:paraId="0349099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E1D9DD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zh-TW" w:eastAsia="zh-CN" w:bidi="zh-TW"/>
        </w:rPr>
        <w:t>第一章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zh-TW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总则</w:t>
      </w:r>
    </w:p>
    <w:p w14:paraId="4DA74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第一条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为培育中国地质调查局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乌鲁木齐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自然资源综合调查中心（以下简称：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乌鲁木齐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中心）科技创新能力，提升各类调查项目成果集成水平，提高科技人员申请国家五大平台项目能力，营造学术研究氛围，推动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乌鲁木齐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型发展。根据《国家创新驱动发展战略纲要》（国务院公报〔2016〕15号）《自然资源科技创新发展规划纲要》（自然资党发〔2018〕117号）和《中共自然资源部党组关于激励科技创新人才的若干措施》（自然资党发〔2019〕2号）及《关于进一步落实科技创新有关政策的若干措施》（自然资办发〔2021〕69号）通知精神，将依托乌鲁木齐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科技创新平台，设立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乌鲁木齐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中心科技创新基金项目，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为规范项目管理，发挥科技创新基金效能，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制定本办法。</w:t>
      </w:r>
    </w:p>
    <w:p w14:paraId="41EDB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 xml:space="preserve">第二条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乌鲁木齐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中心每年从非财政收入或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科技成果转化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项目结余经费中自筹一定比例资金设立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乌鲁木齐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基金项目，经费额度根据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乌鲁木齐中心总体业务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需要动态调整。</w:t>
      </w:r>
    </w:p>
    <w:p w14:paraId="6AAA8E5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0"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本办法所称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科技创新基金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以下简称项目），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指乌鲁木齐中心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的科研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D21B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zh-TW" w:eastAsia="zh-CN" w:bidi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 w:bidi="zh-TW"/>
        </w:rPr>
        <w:t>第二章  职责与分工</w:t>
      </w:r>
    </w:p>
    <w:p w14:paraId="31DBF1C7"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乌鲁木齐中心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对项目实行统一领导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项目主管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设在科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学技术室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指南发布、</w:t>
      </w:r>
      <w:r>
        <w:rPr>
          <w:rFonts w:hint="eastAsia" w:ascii="仿宋_GB2312" w:hAnsi="仿宋_GB2312" w:eastAsia="仿宋_GB2312" w:cs="仿宋_GB2312"/>
          <w:sz w:val="32"/>
          <w:szCs w:val="32"/>
        </w:rPr>
        <w:t>立项、评审、结题验收及资料归档等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全链条管理。</w:t>
      </w:r>
    </w:p>
    <w:p w14:paraId="098D140B"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负责经费管理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纪检审计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项目进行全程的监督检查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4878617F"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60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实行承担单位法人负责制和项目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按照项目任务书要求，结合实际情况组建团队开展研究，推进项目实施。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单位、跨部门、跨学科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开展联合研究。</w:t>
      </w:r>
    </w:p>
    <w:p w14:paraId="343D0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ascii="黑体" w:hAnsi="黑体" w:eastAsia="黑体" w:cs="黑体"/>
          <w:sz w:val="32"/>
          <w:szCs w:val="32"/>
          <w:lang w:val="zh-TW" w:eastAsia="zh-TW" w:bidi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 w:bidi="zh-TW"/>
        </w:rPr>
        <w:t>第三章  申报与评审</w:t>
      </w:r>
    </w:p>
    <w:p w14:paraId="20028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第七条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学技术室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根据业务发展需要，在广泛征求意见基础上，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研提年度基金项目申报指南，经科学技术委员会咨询审议，提交主任办公会审定后发布。</w:t>
      </w:r>
    </w:p>
    <w:p w14:paraId="1EC3F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第八条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科技创新基金原则上主要资助青年科技人才，申请人须符合申报指南中明确的年龄及其他申报条件要求。</w:t>
      </w:r>
    </w:p>
    <w:p w14:paraId="07972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申请人根据年度项目指南要求，向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科学技术室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提交申报书和项目概算。</w:t>
      </w:r>
    </w:p>
    <w:p w14:paraId="70892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学技术室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组织专家进行立项评审，形成年度基金项目资助建议。经主任办公会审定后，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乌鲁木齐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中心下达项目任务书。</w:t>
      </w:r>
    </w:p>
    <w:p w14:paraId="64A85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zh-TW" w:eastAsia="zh-TW" w:bidi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 w:bidi="zh-TW"/>
        </w:rPr>
        <w:t>第四章  实施与监管</w:t>
      </w:r>
    </w:p>
    <w:p w14:paraId="0BB03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项目实施期间，如遇推迟项目验收、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题、项目负责人变更等重大调整，项目负责人应提出书面申请，经科学技术室审核后、分管领导审批。项目如需延期，延长期限原则上不超过6个月。</w:t>
      </w:r>
    </w:p>
    <w:p w14:paraId="11FCE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经费划拨到项目承担单位，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单独核算，专款专用，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经费按照国家、部局有关科研项目经费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规定执行。经费使用范围包括差旅费、专家咨询费、劳务费、培训费、出版/文献/信息传播/知识产权事务费、小型设备费（不超1万元）、出国（境）费（不超过项目经费30%）等，不能列支委托业务费（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乌鲁木齐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中心不能承担的分析测试费除外），各科目经费可由项目负责人根据实际情况做适当调整。</w:t>
      </w:r>
    </w:p>
    <w:p w14:paraId="7819C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项目实行科研诚信管理，自觉接受财务、审计、科技等部门的监督检查。</w:t>
      </w:r>
    </w:p>
    <w:p w14:paraId="52A46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zh-TW" w:eastAsia="zh-TW" w:bidi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 w:bidi="zh-TW"/>
        </w:rPr>
        <w:t>第五章  结题与验收</w:t>
      </w:r>
    </w:p>
    <w:p w14:paraId="12045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研究周期结束后，项目负责人按照要求向科学技术室提交相关材料。科学技术室组织专家进行项目结题评审，坚持“五问”“五不唯”标准，注重项目成果、成效，评审结果分为“优秀”“合格”“不合格”三个等级。</w:t>
      </w:r>
    </w:p>
    <w:p w14:paraId="51881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项目存在下列情况之一者，评定为“不合格”：</w:t>
      </w:r>
    </w:p>
    <w:p w14:paraId="79248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（一）未完成项目任务书约定内容；</w:t>
      </w:r>
    </w:p>
    <w:p w14:paraId="79EF9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（二）未能实现预期成果成效；</w:t>
      </w:r>
    </w:p>
    <w:p w14:paraId="23B5D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（三）提供的资料和数据不真实；</w:t>
      </w:r>
    </w:p>
    <w:p w14:paraId="5A939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（四）违规使用项目经费。</w:t>
      </w:r>
    </w:p>
    <w:p w14:paraId="39158805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评审结果为“优秀”的，再次申请项目时给予一定倾斜，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同时择优遴选不超过20%的优秀项目给予滚动支持，并增加资助强度，以构建稳定资助机制，集中优势资源培养造就高水平优秀人才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；评审结果为“不合格”的，取消项目负责人两年内再次申请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乌鲁木齐中心科技创新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基金项目资格。</w:t>
      </w:r>
    </w:p>
    <w:p w14:paraId="5D129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项目负责人须在项目结题后2个月内，向科学技术室提交结题报告、项目成果报告及相关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资料。</w:t>
      </w:r>
    </w:p>
    <w:p w14:paraId="248BD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条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科技创新基金项目形成的论文、专著、软件、数据库、专利以及鉴定、获奖、成果报道等须注明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申报指南中明确依托的乌鲁木齐中心科技创新平台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资助。</w:t>
      </w:r>
    </w:p>
    <w:p w14:paraId="02518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zh-TW" w:eastAsia="zh-TW" w:bidi="zh-TW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 w:bidi="zh-TW"/>
        </w:rPr>
        <w:t>第六章  附 则</w:t>
      </w:r>
    </w:p>
    <w:p w14:paraId="4B759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0"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本办法自发布之日起施行，由科学技术室负责解释。</w:t>
      </w:r>
    </w:p>
    <w:p w14:paraId="426F6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387FE51"/>
    <w:sectPr>
      <w:footerReference r:id="rId3" w:type="default"/>
      <w:pgSz w:w="11906" w:h="16838"/>
      <w:pgMar w:top="1797" w:right="1440" w:bottom="1797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C07D1">
    <w:pPr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53016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453016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9748520</wp:posOffset>
              </wp:positionV>
              <wp:extent cx="414020" cy="12509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1FC89B">
                          <w:pPr>
                            <w:pStyle w:val="12"/>
                          </w:pP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2.25pt;margin-top:767.6pt;height:9.85pt;width:32.6pt;mso-position-horizontal-relative:page;mso-position-vertical-relative:page;z-index:-251657216;mso-width-relative:page;mso-height-relative:page;" filled="f" stroked="f" coordsize="21600,21600" o:gfxdata="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WBvybZAAAADQEAAA8AAAAAAAAAAQAgAAAAIgAA&#10;AGRycy9kb3ducmV2LnhtbFBLAQIUABQAAAAIAIdO4kDJzsDEzgEAAJ0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1FC89B"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8378B"/>
    <w:multiLevelType w:val="singleLevel"/>
    <w:tmpl w:val="1258378B"/>
    <w:lvl w:ilvl="0" w:tentative="0">
      <w:start w:val="4"/>
      <w:numFmt w:val="chineseCounting"/>
      <w:suff w:val="space"/>
      <w:lvlText w:val="第%1条"/>
      <w:lvlJc w:val="left"/>
      <w:pPr>
        <w:ind w:left="77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ZTIyMWMyMDczMGJlNDQxODc1Y2ZiYzAxNGQ5NGQifQ=="/>
  </w:docVars>
  <w:rsids>
    <w:rsidRoot w:val="38826DA5"/>
    <w:rsid w:val="06B06883"/>
    <w:rsid w:val="0A042487"/>
    <w:rsid w:val="1E1C55C0"/>
    <w:rsid w:val="200201DA"/>
    <w:rsid w:val="23743FCF"/>
    <w:rsid w:val="2B9C79EC"/>
    <w:rsid w:val="38826DA5"/>
    <w:rsid w:val="43A03B3E"/>
    <w:rsid w:val="57E70D63"/>
    <w:rsid w:val="696D4994"/>
    <w:rsid w:val="71B7463E"/>
    <w:rsid w:val="7AFA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Times New Roman" w:hAnsi="Times New Roman" w:eastAsia="黑体"/>
      <w:kern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Times New Roman" w:hAnsi="Times New Roman" w:eastAsia="楷体_GB2312"/>
      <w:sz w:val="30"/>
    </w:rPr>
  </w:style>
  <w:style w:type="paragraph" w:styleId="5">
    <w:name w:val="heading 3"/>
    <w:basedOn w:val="3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2"/>
    </w:pPr>
    <w:rPr>
      <w:rFonts w:eastAsia="仿宋_GB2312" w:asciiTheme="minorAscii" w:hAnsiTheme="minorAscii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Heading #2|1"/>
    <w:qFormat/>
    <w:uiPriority w:val="0"/>
    <w:pPr>
      <w:widowControl w:val="0"/>
      <w:spacing w:after="1100" w:line="672" w:lineRule="exact"/>
      <w:jc w:val="center"/>
      <w:outlineLvl w:val="1"/>
    </w:pPr>
    <w:rPr>
      <w:rFonts w:ascii="宋体" w:hAnsi="宋体" w:eastAsia="宋体" w:cs="宋体"/>
      <w:kern w:val="2"/>
      <w:sz w:val="42"/>
      <w:szCs w:val="42"/>
      <w:lang w:val="zh-TW" w:eastAsia="zh-TW" w:bidi="zh-TW"/>
    </w:rPr>
  </w:style>
  <w:style w:type="paragraph" w:customStyle="1" w:styleId="11">
    <w:name w:val="Body text|1"/>
    <w:qFormat/>
    <w:uiPriority w:val="0"/>
    <w:pPr>
      <w:widowControl w:val="0"/>
      <w:spacing w:line="442" w:lineRule="auto"/>
      <w:ind w:firstLine="400"/>
      <w:jc w:val="both"/>
    </w:pPr>
    <w:rPr>
      <w:rFonts w:ascii="宋体" w:hAnsi="宋体" w:eastAsia="宋体" w:cs="宋体"/>
      <w:kern w:val="2"/>
      <w:sz w:val="28"/>
      <w:szCs w:val="28"/>
      <w:lang w:val="zh-TW" w:eastAsia="zh-TW" w:bidi="zh-TW"/>
    </w:rPr>
  </w:style>
  <w:style w:type="paragraph" w:customStyle="1" w:styleId="12">
    <w:name w:val="Header or footer|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1530</Words>
  <Characters>1548</Characters>
  <Lines>0</Lines>
  <Paragraphs>0</Paragraphs>
  <TotalTime>5</TotalTime>
  <ScaleCrop>false</ScaleCrop>
  <LinksUpToDate>false</LinksUpToDate>
  <CharactersWithSpaces>1594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2024-06-13T12:39:00Z</dcterms:created>
  <dc:creator>科技室2</dc:creator>
  <cp:lastModifiedBy>科技室2</cp:lastModifiedBy>
  <dcterms:modified xsi:type="dcterms:W3CDTF">2024-06-24T03:06:07Z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F3984295BA924248B5BCBEE5B1E0AC31_13</vt:lpwstr>
  </property>
</Properties>
</file>